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958A" w14:textId="77777777" w:rsidR="00285DB6" w:rsidRPr="0091234F" w:rsidRDefault="00285DB6" w:rsidP="00285DB6">
      <w:pPr>
        <w:ind w:right="-40"/>
        <w:rPr>
          <w:b/>
          <w:sz w:val="28"/>
          <w:szCs w:val="28"/>
        </w:rPr>
      </w:pPr>
    </w:p>
    <w:p w14:paraId="4F73CC56" w14:textId="77777777" w:rsidR="00285DB6" w:rsidRPr="0091234F" w:rsidRDefault="00285DB6" w:rsidP="00285DB6">
      <w:pPr>
        <w:spacing w:line="371" w:lineRule="auto"/>
        <w:ind w:left="400" w:right="-40"/>
        <w:jc w:val="both"/>
      </w:pPr>
      <w:r w:rsidRPr="0091234F">
        <w:t xml:space="preserve">El presente instructivo describe los lineamientos establecidos para el proceso de Debida Diligencia que deberán realizar los Receptores de los Fondos, previo a la contratación de los proveedores y/o contratistas, sean estas personas humanas o jurídicas, en el caso de que estas contrataciones sean realizadas con fondos transferidos por la SAGYP, o en el marco de un acuerdo suscripto con éste, que prevea la transferencia de fondos que deban ser rendidos, destinados a la ejecución de los objetivos definidos en el acto que dio lugar a dicha transferencia (acto </w:t>
      </w:r>
      <w:proofErr w:type="spellStart"/>
      <w:r w:rsidRPr="0091234F">
        <w:t>originante</w:t>
      </w:r>
      <w:proofErr w:type="spellEnd"/>
      <w:r w:rsidRPr="0091234F">
        <w:t>).</w:t>
      </w:r>
    </w:p>
    <w:p w14:paraId="2872ED2A" w14:textId="77777777" w:rsidR="00285DB6" w:rsidRPr="0091234F" w:rsidRDefault="00285DB6" w:rsidP="00255F3D">
      <w:pPr>
        <w:pStyle w:val="Prrafodelista"/>
        <w:numPr>
          <w:ilvl w:val="0"/>
          <w:numId w:val="23"/>
        </w:numPr>
        <w:spacing w:before="200"/>
        <w:ind w:right="-40"/>
        <w:jc w:val="both"/>
        <w:rPr>
          <w:u w:val="single"/>
        </w:rPr>
      </w:pPr>
      <w:r w:rsidRPr="0091234F">
        <w:rPr>
          <w:u w:val="single"/>
        </w:rPr>
        <w:t>Establecimiento del enlace con la SAGYP</w:t>
      </w:r>
    </w:p>
    <w:p w14:paraId="5C0129A4" w14:textId="77777777" w:rsidR="00285DB6" w:rsidRPr="0091234F" w:rsidRDefault="00285DB6" w:rsidP="00285DB6">
      <w:pPr>
        <w:spacing w:before="20"/>
        <w:ind w:right="-40"/>
        <w:rPr>
          <w:sz w:val="19"/>
          <w:szCs w:val="19"/>
        </w:rPr>
      </w:pPr>
    </w:p>
    <w:p w14:paraId="33A75A10" w14:textId="77777777" w:rsidR="00285DB6" w:rsidRPr="0091234F" w:rsidRDefault="00285DB6" w:rsidP="00285DB6">
      <w:pPr>
        <w:spacing w:before="100" w:line="371" w:lineRule="auto"/>
        <w:ind w:left="400" w:right="-40"/>
        <w:jc w:val="both"/>
      </w:pPr>
      <w:r w:rsidRPr="0091234F">
        <w:t>Previo a la transferencia, el Receptor de los Fondos deberá remitir una nota al Responsable Primario de la SAGYP indicando el nombre de la persona humana que se encargará del enlace con esta Jurisdicción en todo lo referido al proceso de Debida Diligencia, su cargo si lo tuviese, teléfono y correo electrónico de contacto. De no recibir estos datos, las autoridades de la SAGYP podrían detener la transferencia de fondos.</w:t>
      </w:r>
    </w:p>
    <w:p w14:paraId="3636D75A" w14:textId="77777777" w:rsidR="00285DB6" w:rsidRPr="0091234F" w:rsidRDefault="00285DB6" w:rsidP="00285DB6">
      <w:pPr>
        <w:spacing w:before="200" w:line="371" w:lineRule="auto"/>
        <w:ind w:left="400" w:right="-40"/>
        <w:jc w:val="both"/>
      </w:pPr>
      <w:r w:rsidRPr="0091234F">
        <w:t>Se debe tener en cuenta que un correo electrónico del Responsable Primario a la casilla informada, con confirmación de entrega, constituye comunicación suficiente a los efectos del presente Instructivo.</w:t>
      </w:r>
    </w:p>
    <w:p w14:paraId="70F072BB" w14:textId="77777777" w:rsidR="00285DB6" w:rsidRPr="0091234F" w:rsidRDefault="00285DB6" w:rsidP="00285DB6">
      <w:pPr>
        <w:spacing w:before="200" w:line="371" w:lineRule="auto"/>
        <w:ind w:left="400" w:right="-40"/>
        <w:jc w:val="both"/>
      </w:pPr>
      <w:r w:rsidRPr="0091234F">
        <w:t>Una vez realizada la transferencia recibirá un correo indicando específicamente a quien debe ir dirigido el Legajo de la Debida Diligencia realizada y donde debe presentarse. A su vez, por el mismo medio podrá evacuar todas las consultas que tenga en relación al proceso de Debida Diligencia.</w:t>
      </w:r>
    </w:p>
    <w:p w14:paraId="536E645F" w14:textId="77777777" w:rsidR="00285DB6" w:rsidRPr="0091234F" w:rsidRDefault="00285DB6" w:rsidP="00285DB6">
      <w:pPr>
        <w:spacing w:before="200" w:line="371" w:lineRule="auto"/>
        <w:ind w:left="400" w:right="-40"/>
        <w:jc w:val="both"/>
      </w:pPr>
      <w:r w:rsidRPr="0091234F">
        <w:t>Cualquier cambio en los datos denunciados, deberá ser inmediatamente comunicado al Responsable Primario.</w:t>
      </w:r>
    </w:p>
    <w:p w14:paraId="4D0D74D7" w14:textId="77777777" w:rsidR="00285DB6" w:rsidRPr="0091234F" w:rsidRDefault="00285DB6" w:rsidP="00255F3D">
      <w:pPr>
        <w:pStyle w:val="Prrafodelista"/>
        <w:numPr>
          <w:ilvl w:val="0"/>
          <w:numId w:val="23"/>
        </w:numPr>
        <w:spacing w:before="200"/>
        <w:ind w:right="-40"/>
        <w:jc w:val="both"/>
        <w:rPr>
          <w:u w:val="single"/>
        </w:rPr>
      </w:pPr>
      <w:r w:rsidRPr="0091234F">
        <w:rPr>
          <w:u w:val="single"/>
        </w:rPr>
        <w:t>Alcance de la Debida Diligencia</w:t>
      </w:r>
    </w:p>
    <w:p w14:paraId="18483E44" w14:textId="77777777" w:rsidR="00285DB6" w:rsidRPr="0091234F" w:rsidRDefault="00285DB6" w:rsidP="00285DB6">
      <w:pPr>
        <w:ind w:right="-40"/>
        <w:rPr>
          <w:sz w:val="20"/>
          <w:szCs w:val="20"/>
        </w:rPr>
      </w:pPr>
    </w:p>
    <w:p w14:paraId="2689683C" w14:textId="77777777" w:rsidR="00285DB6" w:rsidRPr="0091234F" w:rsidRDefault="00285DB6" w:rsidP="00285DB6">
      <w:pPr>
        <w:spacing w:before="100" w:line="371" w:lineRule="auto"/>
        <w:ind w:left="400" w:right="-40"/>
      </w:pPr>
      <w:r w:rsidRPr="0091234F">
        <w:t>El Receptor de los Fondos, previo a la contratación de un proveedor y/o contratista, deberá realizar el siguiente procedimiento de Debida Diligencia:</w:t>
      </w:r>
    </w:p>
    <w:p w14:paraId="00707BC0" w14:textId="77777777" w:rsidR="00285DB6" w:rsidRPr="0091234F" w:rsidRDefault="00285DB6" w:rsidP="00285DB6">
      <w:pPr>
        <w:spacing w:before="80" w:line="371" w:lineRule="auto"/>
        <w:ind w:left="400" w:right="-40"/>
        <w:jc w:val="both"/>
      </w:pPr>
      <w:r w:rsidRPr="0091234F">
        <w:lastRenderedPageBreak/>
        <w:t>•</w:t>
      </w:r>
      <w:r w:rsidR="00780067" w:rsidRPr="0091234F">
        <w:t xml:space="preserve"> </w:t>
      </w:r>
      <w:r w:rsidRPr="0091234F">
        <w:t>Recabar información del proveedor/contratista que determine su conducta fiscal (constancia de inscripción AFIP, inscripción en Ingresos Brutos, en caso de corresponder última Declaración Jurada del Impuesto a las Ganancias, etcétera).</w:t>
      </w:r>
    </w:p>
    <w:p w14:paraId="76481FD5" w14:textId="77777777" w:rsidR="00285DB6" w:rsidRPr="0091234F" w:rsidRDefault="00285DB6" w:rsidP="00285DB6">
      <w:pPr>
        <w:numPr>
          <w:ilvl w:val="0"/>
          <w:numId w:val="22"/>
        </w:numPr>
        <w:spacing w:before="200" w:line="371" w:lineRule="auto"/>
        <w:ind w:right="-40"/>
        <w:jc w:val="both"/>
      </w:pPr>
      <w:r w:rsidRPr="0091234F">
        <w:t>La inscripción de AFIP y las certificaciones sobre pago de obligaciones fiscales, ganancias o acogimiento a moratorias se puede extraer de la página web del organismo.</w:t>
      </w:r>
    </w:p>
    <w:p w14:paraId="47FA193A" w14:textId="77777777" w:rsidR="00285DB6" w:rsidRPr="0091234F" w:rsidRDefault="00285DB6" w:rsidP="00285DB6">
      <w:pPr>
        <w:spacing w:before="200" w:line="371" w:lineRule="auto"/>
        <w:ind w:left="400" w:right="-40"/>
        <w:jc w:val="both"/>
      </w:pPr>
      <w:r w:rsidRPr="0091234F">
        <w:t>En el caso de Ingresos Brutos, dado que éste es un tributo provincial, se debe extraer la constancia o certificación desde la página web del organismo recaudador (siempre que lo permita) y adoptar idéntico criterio en relación al cumplimiento de la obligación tributaria.</w:t>
      </w:r>
    </w:p>
    <w:p w14:paraId="60A6AC32" w14:textId="77777777" w:rsidR="00285DB6" w:rsidRPr="0091234F" w:rsidRDefault="00285DB6" w:rsidP="00285DB6">
      <w:pPr>
        <w:spacing w:before="200" w:line="371" w:lineRule="auto"/>
        <w:ind w:left="400" w:right="-40"/>
      </w:pPr>
      <w:r w:rsidRPr="0091234F">
        <w:t>•</w:t>
      </w:r>
      <w:r w:rsidR="00780067" w:rsidRPr="0091234F">
        <w:t xml:space="preserve"> </w:t>
      </w:r>
      <w:proofErr w:type="spellStart"/>
      <w:r w:rsidRPr="0091234F">
        <w:t>Curriculum</w:t>
      </w:r>
      <w:proofErr w:type="spellEnd"/>
      <w:r w:rsidRPr="0091234F">
        <w:t xml:space="preserve"> Vitae y matrículas profesionales, en caso de corresponder y de que existieran colegiaciones creadas por ley.</w:t>
      </w:r>
    </w:p>
    <w:p w14:paraId="7528EA1B" w14:textId="77777777" w:rsidR="00285DB6" w:rsidRPr="0091234F" w:rsidRDefault="00285DB6" w:rsidP="00285DB6">
      <w:pPr>
        <w:spacing w:before="200" w:line="367" w:lineRule="auto"/>
        <w:ind w:left="400" w:right="-40"/>
        <w:rPr>
          <w:b/>
        </w:rPr>
      </w:pPr>
      <w:r w:rsidRPr="0091234F">
        <w:t>•</w:t>
      </w:r>
      <w:r w:rsidR="00780067" w:rsidRPr="0091234F">
        <w:t xml:space="preserve"> </w:t>
      </w:r>
      <w:r w:rsidRPr="0091234F">
        <w:t xml:space="preserve">Completar el Formulario de Debida Diligencia (Modelo conforme Anexo II del presente Reglamento). </w:t>
      </w:r>
    </w:p>
    <w:p w14:paraId="3DA9F5E2" w14:textId="77777777" w:rsidR="00285DB6" w:rsidRPr="0091234F" w:rsidRDefault="00285DB6" w:rsidP="00255F3D">
      <w:pPr>
        <w:spacing w:before="200" w:line="367" w:lineRule="auto"/>
        <w:ind w:left="400" w:right="-40"/>
      </w:pPr>
      <w:r w:rsidRPr="0091234F">
        <w:t>En los casos en los que el costo del servicio o producto sea menor a CINCO</w:t>
      </w:r>
      <w:r w:rsidR="00780067" w:rsidRPr="0091234F">
        <w:t xml:space="preserve"> </w:t>
      </w:r>
      <w:r w:rsidRPr="0091234F">
        <w:t>(5) salarios equivalentes a Nivel A, Grado 0, Función Ejecutiva Nivel I, del SISTEMA NACIONAL DE EMPLEO PÚBLICO (SI.N.E.P.), homologado por el Decreto Nº 2.098 de fecha 3 de diciembre de 2008 y sus modificatorios, no será necesario completar el listado sobre los miembros de la estructura societaria.</w:t>
      </w:r>
    </w:p>
    <w:p w14:paraId="3C4AC47B" w14:textId="77777777" w:rsidR="00285DB6" w:rsidRPr="0091234F" w:rsidRDefault="00285DB6" w:rsidP="00285DB6">
      <w:pPr>
        <w:numPr>
          <w:ilvl w:val="0"/>
          <w:numId w:val="20"/>
        </w:numPr>
        <w:spacing w:before="200" w:line="371" w:lineRule="auto"/>
        <w:ind w:right="-40"/>
        <w:jc w:val="both"/>
      </w:pPr>
      <w:r w:rsidRPr="0091234F">
        <w:t xml:space="preserve">Completar el Formulario de Conflictos de Interés (Modelo conforme Anexo V del presente Reglamento). </w:t>
      </w:r>
      <w:r w:rsidRPr="0091234F">
        <w:rPr>
          <w:b/>
        </w:rPr>
        <w:t>[Nota de la AA: Anexo IX del Programa]</w:t>
      </w:r>
    </w:p>
    <w:p w14:paraId="1B60734F" w14:textId="77777777" w:rsidR="00285DB6" w:rsidRPr="0091234F" w:rsidRDefault="00285DB6" w:rsidP="00285DB6">
      <w:pPr>
        <w:spacing w:before="180" w:line="374" w:lineRule="auto"/>
        <w:ind w:left="400" w:right="-40"/>
        <w:jc w:val="both"/>
      </w:pPr>
      <w:r w:rsidRPr="0091234F">
        <w:t>•</w:t>
      </w:r>
      <w:r w:rsidR="00780067" w:rsidRPr="0091234F">
        <w:t xml:space="preserve"> </w:t>
      </w:r>
      <w:r w:rsidRPr="0091234F">
        <w:t>Verificar si el proveedor/contratista dispone de la calificación o experiencia para brindar el producto o servicio requerido.</w:t>
      </w:r>
    </w:p>
    <w:p w14:paraId="5E346242" w14:textId="77777777" w:rsidR="00285DB6" w:rsidRPr="0091234F" w:rsidRDefault="00285DB6" w:rsidP="00285DB6">
      <w:pPr>
        <w:numPr>
          <w:ilvl w:val="0"/>
          <w:numId w:val="21"/>
        </w:numPr>
        <w:spacing w:before="180" w:line="371" w:lineRule="auto"/>
        <w:ind w:right="-40"/>
        <w:jc w:val="both"/>
      </w:pPr>
      <w:r w:rsidRPr="0091234F">
        <w:t xml:space="preserve">El requisito se cumple mediante el cotejo de la fecha de inicio de actividades que surja de la información fiscal y de la información </w:t>
      </w:r>
      <w:r w:rsidRPr="0091234F">
        <w:lastRenderedPageBreak/>
        <w:t xml:space="preserve">contenida en el </w:t>
      </w:r>
      <w:proofErr w:type="spellStart"/>
      <w:r w:rsidRPr="0091234F">
        <w:rPr>
          <w:i/>
        </w:rPr>
        <w:t>Curriculum</w:t>
      </w:r>
      <w:proofErr w:type="spellEnd"/>
      <w:r w:rsidRPr="0091234F">
        <w:rPr>
          <w:i/>
        </w:rPr>
        <w:t xml:space="preserve"> Vitae</w:t>
      </w:r>
      <w:r w:rsidRPr="0091234F">
        <w:t xml:space="preserve"> presentado, junto con sus referencias y la documentación que acompañe que acredite su práctica en obra, servicios o venta de productos requeridos.</w:t>
      </w:r>
    </w:p>
    <w:p w14:paraId="1AAA5F89" w14:textId="77777777" w:rsidR="00285DB6" w:rsidRPr="0091234F" w:rsidRDefault="00285DB6" w:rsidP="00285DB6">
      <w:pPr>
        <w:ind w:right="-40"/>
        <w:rPr>
          <w:rFonts w:eastAsia="Times New Roman"/>
        </w:rPr>
      </w:pPr>
    </w:p>
    <w:p w14:paraId="151FD148" w14:textId="77777777" w:rsidR="00285DB6" w:rsidRPr="0091234F" w:rsidRDefault="00285DB6" w:rsidP="00285DB6">
      <w:pPr>
        <w:ind w:right="-40"/>
        <w:rPr>
          <w:rFonts w:eastAsia="Times New Roman"/>
        </w:rPr>
      </w:pPr>
    </w:p>
    <w:p w14:paraId="00AC67B7" w14:textId="77777777" w:rsidR="00285DB6" w:rsidRPr="0098138D" w:rsidRDefault="00285DB6" w:rsidP="00255F3D">
      <w:pPr>
        <w:pStyle w:val="Prrafodelista"/>
        <w:numPr>
          <w:ilvl w:val="0"/>
          <w:numId w:val="23"/>
        </w:numPr>
        <w:spacing w:before="80"/>
        <w:ind w:right="-40"/>
        <w:rPr>
          <w:u w:val="single"/>
        </w:rPr>
      </w:pPr>
      <w:r w:rsidRPr="0098138D">
        <w:rPr>
          <w:u w:val="single"/>
        </w:rPr>
        <w:t>Análisis de la documentación presentada</w:t>
      </w:r>
    </w:p>
    <w:p w14:paraId="71137F90" w14:textId="77777777" w:rsidR="00285DB6" w:rsidRPr="00134064" w:rsidRDefault="00285DB6" w:rsidP="00285DB6">
      <w:pPr>
        <w:ind w:right="-40"/>
        <w:rPr>
          <w:sz w:val="20"/>
          <w:szCs w:val="20"/>
        </w:rPr>
      </w:pPr>
    </w:p>
    <w:p w14:paraId="1411BE56" w14:textId="77777777" w:rsidR="00285DB6" w:rsidRPr="0091234F" w:rsidRDefault="00285DB6" w:rsidP="00285DB6">
      <w:pPr>
        <w:spacing w:before="100" w:line="371" w:lineRule="auto"/>
        <w:ind w:left="400" w:right="-40"/>
        <w:jc w:val="both"/>
      </w:pPr>
      <w:r w:rsidRPr="0091234F">
        <w:t>El Receptor de los Fondos deberá verificar si la información presentada por el proveedor/contratista es veraz y se corresponde con la realidad, valiéndose para ello de las bases de datos públicas y privadas a las que tenga acceso y estime útiles a efecto del análisis.</w:t>
      </w:r>
    </w:p>
    <w:p w14:paraId="07BFB466" w14:textId="77777777" w:rsidR="00285DB6" w:rsidRPr="0091234F" w:rsidRDefault="00285DB6" w:rsidP="00285DB6">
      <w:pPr>
        <w:spacing w:before="200" w:line="371" w:lineRule="auto"/>
        <w:ind w:left="400" w:right="-40"/>
        <w:jc w:val="both"/>
      </w:pPr>
      <w:r w:rsidRPr="0091234F">
        <w:t>Asimismo, deberá determinar si existe alguna señal de alerta que sugiera anomalías a los efectos de poder detectar en forma preventiva, posibles riesgos que conlleve la contratación de los proveedores/contratistas.</w:t>
      </w:r>
    </w:p>
    <w:p w14:paraId="607867A6" w14:textId="77777777" w:rsidR="00285DB6" w:rsidRPr="0091234F" w:rsidRDefault="00285DB6" w:rsidP="00285DB6">
      <w:pPr>
        <w:spacing w:before="180" w:line="374" w:lineRule="auto"/>
        <w:ind w:left="400" w:right="-40"/>
        <w:jc w:val="both"/>
      </w:pPr>
      <w:r w:rsidRPr="0091234F">
        <w:t xml:space="preserve">Este proceso deberá realizarse/actualizarse semestralmente cuando el acto </w:t>
      </w:r>
      <w:proofErr w:type="spellStart"/>
      <w:r w:rsidRPr="0091234F">
        <w:t>originante</w:t>
      </w:r>
      <w:proofErr w:type="spellEnd"/>
      <w:r w:rsidRPr="0091234F">
        <w:t xml:space="preserve"> conlleve un período de ejecución igual o mayor a los DOCE (12) meses.</w:t>
      </w:r>
    </w:p>
    <w:p w14:paraId="062D26CC" w14:textId="77777777" w:rsidR="00285DB6" w:rsidRPr="0091234F" w:rsidRDefault="00285DB6" w:rsidP="00255F3D">
      <w:pPr>
        <w:pStyle w:val="Prrafodelista"/>
        <w:numPr>
          <w:ilvl w:val="0"/>
          <w:numId w:val="23"/>
        </w:numPr>
        <w:spacing w:before="180"/>
        <w:ind w:right="-40"/>
        <w:jc w:val="both"/>
        <w:rPr>
          <w:u w:val="single"/>
        </w:rPr>
      </w:pPr>
      <w:r w:rsidRPr="0091234F">
        <w:rPr>
          <w:u w:val="single"/>
        </w:rPr>
        <w:t>Excepciones</w:t>
      </w:r>
    </w:p>
    <w:p w14:paraId="0D360B46" w14:textId="77777777" w:rsidR="00285DB6" w:rsidRPr="0091234F" w:rsidRDefault="00285DB6" w:rsidP="00285DB6">
      <w:pPr>
        <w:spacing w:before="140" w:line="371" w:lineRule="auto"/>
        <w:ind w:left="400" w:right="-40"/>
        <w:jc w:val="both"/>
      </w:pPr>
      <w:r w:rsidRPr="0091234F">
        <w:t xml:space="preserve">Los gastos que realicen los Receptores de los Fondos en el marco de la ejecución de los objetivos establecidos en el acto </w:t>
      </w:r>
      <w:proofErr w:type="spellStart"/>
      <w:r w:rsidRPr="0091234F">
        <w:t>originante</w:t>
      </w:r>
      <w:proofErr w:type="spellEnd"/>
      <w:r w:rsidRPr="0091234F">
        <w:t>, vinculados a gastos de movilidad, combustible, hospedaje, reservas y viáticos, quedan exceptuados del proceso de debida diligencia, siempre que estos montos no superen el CINCO POR CIENTO (5%) de los desembolsos vinculados al presupuesto acordado.</w:t>
      </w:r>
    </w:p>
    <w:p w14:paraId="6D5B2184" w14:textId="77777777" w:rsidR="00285DB6" w:rsidRPr="0091234F" w:rsidRDefault="00285DB6" w:rsidP="00285DB6">
      <w:pPr>
        <w:ind w:right="-40"/>
        <w:rPr>
          <w:sz w:val="24"/>
          <w:szCs w:val="24"/>
        </w:rPr>
      </w:pPr>
    </w:p>
    <w:p w14:paraId="5C21C1C8" w14:textId="77777777" w:rsidR="00285DB6" w:rsidRPr="0091234F" w:rsidRDefault="00285DB6" w:rsidP="00285DB6">
      <w:pPr>
        <w:ind w:right="-40"/>
        <w:rPr>
          <w:sz w:val="27"/>
          <w:szCs w:val="27"/>
        </w:rPr>
      </w:pPr>
    </w:p>
    <w:p w14:paraId="1614072D" w14:textId="77777777" w:rsidR="00285DB6" w:rsidRPr="0091234F" w:rsidRDefault="00285DB6" w:rsidP="00255F3D">
      <w:pPr>
        <w:pStyle w:val="Prrafodelista"/>
        <w:numPr>
          <w:ilvl w:val="0"/>
          <w:numId w:val="23"/>
        </w:numPr>
        <w:ind w:right="-40"/>
        <w:jc w:val="both"/>
        <w:rPr>
          <w:u w:val="single"/>
        </w:rPr>
      </w:pPr>
      <w:r w:rsidRPr="0091234F">
        <w:rPr>
          <w:u w:val="single"/>
        </w:rPr>
        <w:t>Documentación a Presentar</w:t>
      </w:r>
    </w:p>
    <w:p w14:paraId="196403F2" w14:textId="77777777" w:rsidR="00285DB6" w:rsidRPr="0091234F" w:rsidRDefault="00285DB6" w:rsidP="00285DB6">
      <w:pPr>
        <w:ind w:right="-40"/>
        <w:rPr>
          <w:sz w:val="20"/>
          <w:szCs w:val="20"/>
        </w:rPr>
      </w:pPr>
    </w:p>
    <w:p w14:paraId="2CF8100A" w14:textId="77777777" w:rsidR="00285DB6" w:rsidRPr="0091234F" w:rsidRDefault="00285DB6" w:rsidP="00285DB6">
      <w:pPr>
        <w:spacing w:before="100" w:line="371" w:lineRule="auto"/>
        <w:ind w:left="400" w:right="-40"/>
        <w:jc w:val="both"/>
      </w:pPr>
      <w:r w:rsidRPr="0091234F">
        <w:t xml:space="preserve">El Receptor de los Fondos deberá presentar, juntamente con la correspondiente Rendición de Cuentas, un Legajo de Debida Diligencia por cada proveedor y/o contratista contratado en el marco del acto </w:t>
      </w:r>
      <w:proofErr w:type="spellStart"/>
      <w:r w:rsidRPr="0091234F">
        <w:t>originante</w:t>
      </w:r>
      <w:proofErr w:type="spellEnd"/>
      <w:r w:rsidRPr="0091234F">
        <w:t xml:space="preserve">, el cual debe contener </w:t>
      </w:r>
      <w:r w:rsidRPr="0091234F">
        <w:lastRenderedPageBreak/>
        <w:t>toda la documentación que acredite el cumplimiento de los requisitos de Debida Diligencia supra establecidos. Asimismo, estos legajos deberán contener, de manera obligatoria, la siguiente documentación:</w:t>
      </w:r>
    </w:p>
    <w:p w14:paraId="438C2128" w14:textId="77777777" w:rsidR="00285DB6" w:rsidRPr="0091234F" w:rsidRDefault="00285DB6" w:rsidP="00285DB6">
      <w:pPr>
        <w:spacing w:line="371" w:lineRule="auto"/>
        <w:ind w:left="400" w:right="-40"/>
        <w:jc w:val="both"/>
        <w:rPr>
          <w:b/>
        </w:rPr>
      </w:pPr>
      <w:r w:rsidRPr="0091234F">
        <w:t>a)</w:t>
      </w:r>
      <w:r w:rsidR="00780067" w:rsidRPr="0091234F">
        <w:t xml:space="preserve"> </w:t>
      </w:r>
      <w:r w:rsidRPr="0091234F">
        <w:t>Formulario “Debida Diligencia” (Modelo conforme</w:t>
      </w:r>
      <w:r w:rsidRPr="0091234F">
        <w:rPr>
          <w:b/>
        </w:rPr>
        <w:t xml:space="preserve"> Anexo IV del Programa)</w:t>
      </w:r>
    </w:p>
    <w:p w14:paraId="71E0C6FB" w14:textId="77777777" w:rsidR="00285DB6" w:rsidRPr="0091234F" w:rsidRDefault="00285DB6" w:rsidP="00285DB6">
      <w:pPr>
        <w:spacing w:line="371" w:lineRule="auto"/>
        <w:ind w:left="400" w:right="-40"/>
        <w:jc w:val="both"/>
        <w:rPr>
          <w:rFonts w:eastAsia="Times New Roman"/>
        </w:rPr>
      </w:pPr>
      <w:r w:rsidRPr="0091234F">
        <w:t>Consiste en un documento que deberá ser completado por los proveedores y/o contratistas, sean estas personas humanas o jurídicas, en el que se deberá solicitar que respondan una serie de preguntas relativas a la estructura societaria y de asuntos vinculados con integridad y transparencia.</w:t>
      </w:r>
    </w:p>
    <w:p w14:paraId="573E8803" w14:textId="77777777" w:rsidR="00285DB6" w:rsidRPr="0091234F" w:rsidRDefault="00285DB6" w:rsidP="00285DB6">
      <w:pPr>
        <w:ind w:right="-40"/>
        <w:rPr>
          <w:rFonts w:eastAsia="Times New Roman"/>
        </w:rPr>
      </w:pPr>
    </w:p>
    <w:p w14:paraId="14F4CC9C" w14:textId="77777777" w:rsidR="00285DB6" w:rsidRPr="0098138D" w:rsidRDefault="00285DB6" w:rsidP="00285DB6">
      <w:pPr>
        <w:spacing w:before="80" w:line="374" w:lineRule="auto"/>
        <w:ind w:left="400" w:right="-40"/>
        <w:jc w:val="both"/>
      </w:pPr>
      <w:r w:rsidRPr="0098138D">
        <w:t>El mismo tendrá efectos de declaración jurada. Deberá estar firmado de acuerdo a su carácter, a saber:</w:t>
      </w:r>
    </w:p>
    <w:p w14:paraId="0E5A3745" w14:textId="77777777" w:rsidR="00285DB6" w:rsidRPr="00134064" w:rsidRDefault="00285DB6" w:rsidP="00255F3D">
      <w:pPr>
        <w:pStyle w:val="Prrafodelista"/>
        <w:numPr>
          <w:ilvl w:val="0"/>
          <w:numId w:val="16"/>
        </w:numPr>
        <w:spacing w:before="180"/>
        <w:ind w:right="-40"/>
        <w:jc w:val="both"/>
      </w:pPr>
      <w:r w:rsidRPr="0098138D">
        <w:t>Persona humana: firma y aclaración del proveedor y/o contratista</w:t>
      </w:r>
      <w:r w:rsidRPr="00134064">
        <w:t>.</w:t>
      </w:r>
    </w:p>
    <w:p w14:paraId="36070731" w14:textId="77777777" w:rsidR="00285DB6" w:rsidRPr="0091234F" w:rsidRDefault="00285DB6" w:rsidP="00285DB6">
      <w:pPr>
        <w:ind w:right="-40"/>
        <w:rPr>
          <w:sz w:val="29"/>
          <w:szCs w:val="29"/>
        </w:rPr>
      </w:pPr>
    </w:p>
    <w:p w14:paraId="46ABB453" w14:textId="77777777" w:rsidR="00285DB6" w:rsidRPr="0091234F" w:rsidRDefault="00285DB6" w:rsidP="00285DB6">
      <w:pPr>
        <w:spacing w:line="371" w:lineRule="auto"/>
        <w:ind w:left="400" w:right="-40"/>
        <w:jc w:val="both"/>
      </w:pPr>
      <w:r w:rsidRPr="0091234F">
        <w:t>-</w:t>
      </w:r>
      <w:r w:rsidR="00780067" w:rsidRPr="0091234F">
        <w:t xml:space="preserve"> </w:t>
      </w:r>
      <w:r w:rsidRPr="0091234F">
        <w:t>Persona jurídica: firma, aclaración y cargo del responsable, debidamente autorizado, del proveedor y/o contratista. En caso de ser apoderado se deberá acompañar el poder correspondiente.</w:t>
      </w:r>
    </w:p>
    <w:p w14:paraId="44319F9B" w14:textId="77777777" w:rsidR="00285DB6" w:rsidRPr="0091234F" w:rsidRDefault="00285DB6" w:rsidP="00285DB6">
      <w:pPr>
        <w:spacing w:before="180" w:line="371" w:lineRule="auto"/>
        <w:ind w:left="400" w:right="-40"/>
        <w:jc w:val="both"/>
      </w:pPr>
      <w:r w:rsidRPr="0091234F">
        <w:t>b)</w:t>
      </w:r>
      <w:r w:rsidR="00780067" w:rsidRPr="0091234F">
        <w:t xml:space="preserve"> </w:t>
      </w:r>
      <w:r w:rsidRPr="0091234F">
        <w:t>Formulario “Conflictos de Interés” (Modelo conforme Anexo V del Programa): Consiste en un cuestionario relativo a situaciones que pudieran generar conflictos de interés, que contendrá efectos de declaración jurada, y deberá ser entregado para su llenado a los proveedores y/o contratistas, sean estas personas humanas o jurídicas. Deberá estar firmado de acuerdo a su carácter, a saber:</w:t>
      </w:r>
    </w:p>
    <w:p w14:paraId="3EC4D3C7" w14:textId="77777777" w:rsidR="00285DB6" w:rsidRPr="0091234F" w:rsidRDefault="00285DB6" w:rsidP="00285DB6">
      <w:pPr>
        <w:spacing w:line="267" w:lineRule="auto"/>
        <w:ind w:left="680" w:right="-40" w:hanging="140"/>
        <w:jc w:val="both"/>
      </w:pPr>
      <w:r w:rsidRPr="0091234F">
        <w:t>-</w:t>
      </w:r>
      <w:r w:rsidR="00780067" w:rsidRPr="0091234F">
        <w:t xml:space="preserve"> </w:t>
      </w:r>
      <w:r w:rsidRPr="0091234F">
        <w:t>Persona humana: firma y aclaración del proveedor y/o contratista.</w:t>
      </w:r>
    </w:p>
    <w:p w14:paraId="1FFD444C" w14:textId="77777777" w:rsidR="00285DB6" w:rsidRPr="0091234F" w:rsidRDefault="00285DB6" w:rsidP="00285DB6">
      <w:pPr>
        <w:spacing w:before="20"/>
        <w:ind w:right="-40"/>
        <w:rPr>
          <w:sz w:val="28"/>
          <w:szCs w:val="28"/>
        </w:rPr>
      </w:pPr>
    </w:p>
    <w:p w14:paraId="5231EAA1" w14:textId="77777777" w:rsidR="00285DB6" w:rsidRPr="0091234F" w:rsidRDefault="00285DB6" w:rsidP="00255F3D">
      <w:pPr>
        <w:pStyle w:val="Prrafodelista"/>
        <w:numPr>
          <w:ilvl w:val="0"/>
          <w:numId w:val="16"/>
        </w:numPr>
        <w:spacing w:line="374" w:lineRule="auto"/>
        <w:ind w:right="-40"/>
        <w:jc w:val="both"/>
      </w:pPr>
      <w:r w:rsidRPr="0091234F">
        <w:t>Persona jurídica: firma, aclaración y cargo del responsable, debidamente autorizado, del proveedor y/o contratista. En caso de ser apoderado se deberá acompañar el poder correspondiente.</w:t>
      </w:r>
    </w:p>
    <w:p w14:paraId="60030637" w14:textId="77777777" w:rsidR="00285DB6" w:rsidRPr="0091234F" w:rsidRDefault="00285DB6" w:rsidP="00285DB6">
      <w:pPr>
        <w:spacing w:before="180" w:line="371" w:lineRule="auto"/>
        <w:ind w:left="400" w:right="-40"/>
        <w:jc w:val="both"/>
      </w:pPr>
      <w:r w:rsidRPr="0091234F">
        <w:t xml:space="preserve">La presentación de dichos documentos, no eximen al Receptor de los Fondos de verificar si los datos allí vertidos se corresponden con la realidad, valiéndose </w:t>
      </w:r>
      <w:r w:rsidRPr="0091234F">
        <w:lastRenderedPageBreak/>
        <w:t>de los medios necesarios para realizar tal verificación, como así también de detectar información relevante no incluida en los documentos arriba citados.</w:t>
      </w:r>
    </w:p>
    <w:p w14:paraId="6F12631D" w14:textId="77777777" w:rsidR="00285DB6" w:rsidRPr="0091234F" w:rsidRDefault="00285DB6" w:rsidP="00255F3D">
      <w:pPr>
        <w:pStyle w:val="Prrafodelista"/>
        <w:numPr>
          <w:ilvl w:val="0"/>
          <w:numId w:val="23"/>
        </w:numPr>
        <w:spacing w:before="200"/>
        <w:ind w:right="-40"/>
        <w:jc w:val="both"/>
        <w:rPr>
          <w:u w:val="single"/>
        </w:rPr>
      </w:pPr>
      <w:r w:rsidRPr="0091234F">
        <w:rPr>
          <w:u w:val="single"/>
        </w:rPr>
        <w:t>Irregularidades detectadas durante el proceso de Debida Diligencia</w:t>
      </w:r>
    </w:p>
    <w:p w14:paraId="2F714865" w14:textId="77777777" w:rsidR="00285DB6" w:rsidRPr="0091234F" w:rsidRDefault="00285DB6" w:rsidP="00285DB6">
      <w:pPr>
        <w:ind w:right="-40"/>
        <w:rPr>
          <w:sz w:val="20"/>
          <w:szCs w:val="20"/>
        </w:rPr>
      </w:pPr>
    </w:p>
    <w:p w14:paraId="27F32415" w14:textId="77777777" w:rsidR="00285DB6" w:rsidRPr="0091234F" w:rsidRDefault="00285DB6" w:rsidP="00285DB6">
      <w:pPr>
        <w:spacing w:before="100" w:line="371" w:lineRule="auto"/>
        <w:ind w:left="400" w:right="-40"/>
        <w:jc w:val="both"/>
      </w:pPr>
      <w:r w:rsidRPr="0091234F">
        <w:t xml:space="preserve">En caso de que durante el proceso de Debida Diligencia se detecten irregularidades en la información suministrada por el proveedor y/o contratista, o se encuentre evidencia de que la contratación supone un riesgo potencial o real de la comisión de un ilícito, de contrariar principios éticos, o de una violación al régimen jurídico aplicable, o cuando se puedan ver comprometidos los fondos transferidos por la SAGYP para la ejecución de los objetivos definidos en el acto </w:t>
      </w:r>
      <w:proofErr w:type="spellStart"/>
      <w:r w:rsidRPr="0091234F">
        <w:t>originante</w:t>
      </w:r>
      <w:proofErr w:type="spellEnd"/>
      <w:r w:rsidRPr="0091234F">
        <w:t>, se deberá detener el proceso de contratación y notificar a la SAGYP tal situación, proponiendo la contratación de un nuevo proveedor y/o contratista y adjuntando su presupuesto y Debida Diligencia realizada.</w:t>
      </w:r>
    </w:p>
    <w:p w14:paraId="58748FC8" w14:textId="130DCD09" w:rsidR="004C0023" w:rsidRPr="0091234F" w:rsidRDefault="004C0023" w:rsidP="009A37B5"/>
    <w:p w14:paraId="0ABCD562" w14:textId="77777777" w:rsidR="001C42AB" w:rsidRPr="0091234F" w:rsidRDefault="001C42AB">
      <w:pPr>
        <w:spacing w:line="496" w:lineRule="auto"/>
        <w:ind w:right="-40"/>
        <w:jc w:val="both"/>
      </w:pPr>
    </w:p>
    <w:sectPr w:rsidR="001C42AB" w:rsidRPr="0091234F" w:rsidSect="00B63CEF">
      <w:headerReference w:type="even" r:id="rId8"/>
      <w:headerReference w:type="default" r:id="rId9"/>
      <w:footerReference w:type="default" r:id="rId10"/>
      <w:headerReference w:type="first" r:id="rId11"/>
      <w:footerReference w:type="first" r:id="rId12"/>
      <w:pgSz w:w="11909" w:h="16834"/>
      <w:pgMar w:top="1365" w:right="1561" w:bottom="1701" w:left="2268"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3671" w14:textId="77777777" w:rsidR="00E52564" w:rsidRDefault="00E52564">
      <w:pPr>
        <w:spacing w:line="240" w:lineRule="auto"/>
      </w:pPr>
      <w:r>
        <w:separator/>
      </w:r>
    </w:p>
  </w:endnote>
  <w:endnote w:type="continuationSeparator" w:id="0">
    <w:p w14:paraId="0DD933D5" w14:textId="77777777" w:rsidR="00E52564" w:rsidRDefault="00E52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7874" w14:textId="4088E72F" w:rsidR="009A37B5" w:rsidRDefault="009A37B5">
    <w:pPr>
      <w:pStyle w:val="Piedepgina"/>
    </w:pPr>
    <w:r>
      <w:rPr>
        <w:noProof/>
      </w:rPr>
      <w:drawing>
        <wp:anchor distT="0" distB="0" distL="114300" distR="114300" simplePos="0" relativeHeight="251661312" behindDoc="0" locked="0" layoutInCell="1" allowOverlap="1" wp14:anchorId="5F19DE99" wp14:editId="3AB77E0F">
          <wp:simplePos x="0" y="0"/>
          <wp:positionH relativeFrom="margin">
            <wp:posOffset>-1515291</wp:posOffset>
          </wp:positionH>
          <wp:positionV relativeFrom="margin">
            <wp:posOffset>7750901</wp:posOffset>
          </wp:positionV>
          <wp:extent cx="7625715" cy="1089025"/>
          <wp:effectExtent l="0" t="0" r="0" b="3175"/>
          <wp:wrapSquare wrapText="bothSides"/>
          <wp:docPr id="231065329" name="Imagen 23106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715" cy="1089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E97" w14:textId="0F851DE0" w:rsidR="007153AC" w:rsidRDefault="003F1D2D" w:rsidP="007678DC">
    <w:pPr>
      <w:tabs>
        <w:tab w:val="left" w:pos="576"/>
      </w:tabs>
    </w:pPr>
    <w:r>
      <w:rPr>
        <w:noProof/>
      </w:rPr>
      <w:drawing>
        <wp:anchor distT="0" distB="0" distL="114300" distR="114300" simplePos="0" relativeHeight="251659264" behindDoc="0" locked="0" layoutInCell="1" allowOverlap="1" wp14:anchorId="00D7C709" wp14:editId="67ECB991">
          <wp:simplePos x="0" y="0"/>
          <wp:positionH relativeFrom="margin">
            <wp:posOffset>-1480185</wp:posOffset>
          </wp:positionH>
          <wp:positionV relativeFrom="margin">
            <wp:posOffset>7993652</wp:posOffset>
          </wp:positionV>
          <wp:extent cx="7625715" cy="1089025"/>
          <wp:effectExtent l="0" t="0" r="0" b="3175"/>
          <wp:wrapSquare wrapText="bothSides"/>
          <wp:docPr id="1493505437" name="Imagen 149350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715" cy="1089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FFCB" w14:textId="77777777" w:rsidR="00E52564" w:rsidRDefault="00E52564">
      <w:pPr>
        <w:spacing w:line="240" w:lineRule="auto"/>
      </w:pPr>
      <w:r>
        <w:separator/>
      </w:r>
    </w:p>
  </w:footnote>
  <w:footnote w:type="continuationSeparator" w:id="0">
    <w:p w14:paraId="4595273F" w14:textId="77777777" w:rsidR="00E52564" w:rsidRDefault="00E52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55012084"/>
      <w:docPartObj>
        <w:docPartGallery w:val="Page Numbers (Top of Page)"/>
        <w:docPartUnique/>
      </w:docPartObj>
    </w:sdtPr>
    <w:sdtContent>
      <w:p w14:paraId="3C0FC728" w14:textId="6EDBA35F" w:rsidR="009A37B5" w:rsidRDefault="009A37B5" w:rsidP="00CF2AF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09C5A90F" w14:textId="77777777" w:rsidR="009A37B5" w:rsidRDefault="009A37B5" w:rsidP="009A37B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86607762"/>
      <w:docPartObj>
        <w:docPartGallery w:val="Page Numbers (Top of Page)"/>
        <w:docPartUnique/>
      </w:docPartObj>
    </w:sdtPr>
    <w:sdtContent>
      <w:p w14:paraId="7B17791B" w14:textId="1E122A84" w:rsidR="009A37B5" w:rsidRDefault="009A37B5" w:rsidP="00CF2AF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B23FD1D" w14:textId="77777777" w:rsidR="009A37B5" w:rsidRDefault="009A37B5" w:rsidP="009A37B5">
    <w:pPr>
      <w:ind w:left="5040" w:right="360" w:hanging="4614"/>
      <w:jc w:val="center"/>
      <w:rPr>
        <w:b/>
        <w:lang w:eastAsia="es-AR" w:bidi="ar-SA"/>
      </w:rPr>
    </w:pPr>
  </w:p>
  <w:p w14:paraId="4A46AB78" w14:textId="4B56C72E" w:rsidR="009A37B5" w:rsidRPr="0091234F" w:rsidRDefault="009A37B5" w:rsidP="009A37B5">
    <w:pPr>
      <w:ind w:left="5040" w:right="360" w:hanging="4614"/>
      <w:jc w:val="center"/>
      <w:rPr>
        <w:b/>
        <w:lang w:eastAsia="es-AR" w:bidi="ar-SA"/>
      </w:rPr>
    </w:pPr>
    <w:r w:rsidRPr="0091234F">
      <w:rPr>
        <w:b/>
        <w:lang w:eastAsia="es-AR" w:bidi="ar-SA"/>
      </w:rPr>
      <w:t>ANEX</w:t>
    </w:r>
    <w:r>
      <w:rPr>
        <w:b/>
        <w:lang w:eastAsia="es-AR" w:bidi="ar-SA"/>
      </w:rPr>
      <w:t>O VII</w:t>
    </w:r>
  </w:p>
  <w:p w14:paraId="142CE8F9" w14:textId="77777777" w:rsidR="009A37B5" w:rsidRDefault="009A37B5" w:rsidP="009A37B5">
    <w:pPr>
      <w:jc w:val="center"/>
      <w:rPr>
        <w:b/>
        <w:i/>
        <w:color w:val="000000"/>
        <w:lang w:eastAsia="es-AR" w:bidi="ar-SA"/>
      </w:rPr>
    </w:pPr>
    <w:r w:rsidRPr="0091234F">
      <w:rPr>
        <w:b/>
        <w:i/>
        <w:color w:val="000000"/>
        <w:lang w:eastAsia="es-AR" w:bidi="ar-SA"/>
      </w:rPr>
      <w:t xml:space="preserve">PROGRAMA DE FORTALECIMIENTO DE ESPACIOS DE FORMACIÓN AGROSUSTENTABLES – </w:t>
    </w:r>
    <w:proofErr w:type="spellStart"/>
    <w:r w:rsidRPr="0091234F">
      <w:rPr>
        <w:b/>
        <w:i/>
        <w:color w:val="000000"/>
        <w:lang w:eastAsia="es-AR" w:bidi="ar-SA"/>
      </w:rPr>
      <w:t>FOEFAgro</w:t>
    </w:r>
    <w:proofErr w:type="spellEnd"/>
  </w:p>
  <w:p w14:paraId="19F262CA" w14:textId="77777777" w:rsidR="009A37B5" w:rsidRDefault="009A37B5" w:rsidP="009A37B5">
    <w:pPr>
      <w:jc w:val="center"/>
      <w:rPr>
        <w:b/>
        <w:i/>
        <w:color w:val="000000"/>
        <w:lang w:eastAsia="es-AR" w:bidi="ar-SA"/>
      </w:rPr>
    </w:pPr>
  </w:p>
  <w:p w14:paraId="02C49A0E" w14:textId="77777777" w:rsidR="009A37B5" w:rsidRPr="009A37B5" w:rsidRDefault="009A37B5" w:rsidP="009A37B5">
    <w:pPr>
      <w:spacing w:before="100"/>
      <w:ind w:left="1940" w:right="-40"/>
      <w:rPr>
        <w:b/>
      </w:rPr>
    </w:pPr>
    <w:r w:rsidRPr="0091234F">
      <w:rPr>
        <w:b/>
      </w:rPr>
      <w:t>INSTRUCTIVO PARA LA DEBIDA DILIGENCIA</w:t>
    </w:r>
  </w:p>
  <w:p w14:paraId="58F10BB9" w14:textId="77777777" w:rsidR="009A37B5" w:rsidRDefault="009A37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57516719"/>
      <w:docPartObj>
        <w:docPartGallery w:val="Page Numbers (Top of Page)"/>
        <w:docPartUnique/>
      </w:docPartObj>
    </w:sdtPr>
    <w:sdtContent>
      <w:p w14:paraId="0BB6C51C" w14:textId="40252303" w:rsidR="007678DC" w:rsidRDefault="007678DC" w:rsidP="00CF2AF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E6086B8" w14:textId="77777777" w:rsidR="007678DC" w:rsidRDefault="007678DC" w:rsidP="007678DC">
    <w:pPr>
      <w:ind w:left="5040" w:right="360" w:hanging="4614"/>
      <w:jc w:val="center"/>
      <w:rPr>
        <w:b/>
        <w:lang w:eastAsia="es-AR" w:bidi="ar-SA"/>
      </w:rPr>
    </w:pPr>
  </w:p>
  <w:p w14:paraId="4AB90411" w14:textId="068BB31A" w:rsidR="007678DC" w:rsidRPr="0091234F" w:rsidRDefault="007678DC" w:rsidP="007678DC">
    <w:pPr>
      <w:ind w:left="5040" w:right="360" w:hanging="4614"/>
      <w:jc w:val="center"/>
      <w:rPr>
        <w:b/>
        <w:lang w:eastAsia="es-AR" w:bidi="ar-SA"/>
      </w:rPr>
    </w:pPr>
    <w:r w:rsidRPr="0091234F">
      <w:rPr>
        <w:b/>
        <w:lang w:eastAsia="es-AR" w:bidi="ar-SA"/>
      </w:rPr>
      <w:t>ANEX</w:t>
    </w:r>
    <w:r>
      <w:rPr>
        <w:b/>
        <w:lang w:eastAsia="es-AR" w:bidi="ar-SA"/>
      </w:rPr>
      <w:t>O</w:t>
    </w:r>
    <w:r w:rsidR="00102A07">
      <w:rPr>
        <w:b/>
        <w:lang w:eastAsia="es-AR" w:bidi="ar-SA"/>
      </w:rPr>
      <w:t xml:space="preserve"> VII</w:t>
    </w:r>
  </w:p>
  <w:p w14:paraId="36DDEEFF" w14:textId="77777777" w:rsidR="007678DC" w:rsidRDefault="007678DC" w:rsidP="007678DC">
    <w:pPr>
      <w:jc w:val="center"/>
      <w:rPr>
        <w:b/>
        <w:i/>
        <w:color w:val="000000"/>
        <w:lang w:eastAsia="es-AR" w:bidi="ar-SA"/>
      </w:rPr>
    </w:pPr>
    <w:r w:rsidRPr="0091234F">
      <w:rPr>
        <w:b/>
        <w:i/>
        <w:color w:val="000000"/>
        <w:lang w:eastAsia="es-AR" w:bidi="ar-SA"/>
      </w:rPr>
      <w:t xml:space="preserve">PROGRAMA DE FORTALECIMIENTO DE ESPACIOS DE FORMACIÓN AGROSUSTENTABLES – </w:t>
    </w:r>
    <w:proofErr w:type="spellStart"/>
    <w:r w:rsidRPr="0091234F">
      <w:rPr>
        <w:b/>
        <w:i/>
        <w:color w:val="000000"/>
        <w:lang w:eastAsia="es-AR" w:bidi="ar-SA"/>
      </w:rPr>
      <w:t>FOEFAgro</w:t>
    </w:r>
    <w:proofErr w:type="spellEnd"/>
  </w:p>
  <w:p w14:paraId="4BC2A407" w14:textId="77777777" w:rsidR="009A37B5" w:rsidRDefault="009A37B5" w:rsidP="007678DC">
    <w:pPr>
      <w:jc w:val="center"/>
      <w:rPr>
        <w:b/>
        <w:i/>
        <w:color w:val="000000"/>
        <w:lang w:eastAsia="es-AR" w:bidi="ar-SA"/>
      </w:rPr>
    </w:pPr>
  </w:p>
  <w:p w14:paraId="01BC1F15" w14:textId="1ADFD416" w:rsidR="00351F2C" w:rsidRPr="009A37B5" w:rsidRDefault="009A37B5" w:rsidP="009A37B5">
    <w:pPr>
      <w:spacing w:before="100"/>
      <w:ind w:left="1940" w:right="-40"/>
      <w:rPr>
        <w:b/>
      </w:rPr>
    </w:pPr>
    <w:r w:rsidRPr="0091234F">
      <w:rPr>
        <w:b/>
      </w:rPr>
      <w:t>INSTRUCTIVO PARA LA DEBIDA DILIGENCIA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19C"/>
    <w:multiLevelType w:val="multilevel"/>
    <w:tmpl w:val="E36089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A573E7"/>
    <w:multiLevelType w:val="multilevel"/>
    <w:tmpl w:val="59D8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73FEC"/>
    <w:multiLevelType w:val="multilevel"/>
    <w:tmpl w:val="EC007E88"/>
    <w:lvl w:ilvl="0">
      <w:start w:val="1"/>
      <w:numFmt w:val="bullet"/>
      <w:lvlText w:val="▪"/>
      <w:lvlJc w:val="left"/>
      <w:pPr>
        <w:ind w:left="720" w:hanging="360"/>
      </w:pPr>
      <w:rPr>
        <w:rFonts w:ascii="Noto Sans Symbols" w:eastAsia="Noto Sans Symbols" w:hAnsi="Noto Sans Symbols" w:cs="Noto Sans Symbols"/>
        <w:color w:val="2E75B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120B41"/>
    <w:multiLevelType w:val="multilevel"/>
    <w:tmpl w:val="E3723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C7368C"/>
    <w:multiLevelType w:val="multilevel"/>
    <w:tmpl w:val="CDD4B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D34DAE"/>
    <w:multiLevelType w:val="multilevel"/>
    <w:tmpl w:val="90CC70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2E7D65"/>
    <w:multiLevelType w:val="multilevel"/>
    <w:tmpl w:val="D29AF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752CC8"/>
    <w:multiLevelType w:val="multilevel"/>
    <w:tmpl w:val="71E021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A6D5131"/>
    <w:multiLevelType w:val="multilevel"/>
    <w:tmpl w:val="09DEC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CFF7E48"/>
    <w:multiLevelType w:val="multilevel"/>
    <w:tmpl w:val="C9705B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7363A7"/>
    <w:multiLevelType w:val="hybridMultilevel"/>
    <w:tmpl w:val="AC78F5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4684542"/>
    <w:multiLevelType w:val="multilevel"/>
    <w:tmpl w:val="6C1C0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326570"/>
    <w:multiLevelType w:val="hybridMultilevel"/>
    <w:tmpl w:val="66F2A9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CDE1C94"/>
    <w:multiLevelType w:val="multilevel"/>
    <w:tmpl w:val="1B68B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F96354"/>
    <w:multiLevelType w:val="multilevel"/>
    <w:tmpl w:val="CDFA7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9905C3"/>
    <w:multiLevelType w:val="hybridMultilevel"/>
    <w:tmpl w:val="9920F1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8365E95"/>
    <w:multiLevelType w:val="hybridMultilevel"/>
    <w:tmpl w:val="66F2A9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CC07E80"/>
    <w:multiLevelType w:val="multilevel"/>
    <w:tmpl w:val="910C1F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6058518F"/>
    <w:multiLevelType w:val="multilevel"/>
    <w:tmpl w:val="457AC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7642C8"/>
    <w:multiLevelType w:val="multilevel"/>
    <w:tmpl w:val="6062F0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30924B9"/>
    <w:multiLevelType w:val="multilevel"/>
    <w:tmpl w:val="18FE2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3D7001"/>
    <w:multiLevelType w:val="hybridMultilevel"/>
    <w:tmpl w:val="B380B1B8"/>
    <w:lvl w:ilvl="0" w:tplc="1B1EC024">
      <w:start w:val="1"/>
      <w:numFmt w:val="upperLetter"/>
      <w:lvlText w:val="%1."/>
      <w:lvlJc w:val="left"/>
      <w:pPr>
        <w:ind w:left="1040" w:hanging="360"/>
      </w:pPr>
      <w:rPr>
        <w:rFonts w:hint="default"/>
        <w:u w:val="none"/>
      </w:rPr>
    </w:lvl>
    <w:lvl w:ilvl="1" w:tplc="2C0A0019" w:tentative="1">
      <w:start w:val="1"/>
      <w:numFmt w:val="lowerLetter"/>
      <w:lvlText w:val="%2."/>
      <w:lvlJc w:val="left"/>
      <w:pPr>
        <w:ind w:left="1760" w:hanging="360"/>
      </w:pPr>
    </w:lvl>
    <w:lvl w:ilvl="2" w:tplc="2C0A001B" w:tentative="1">
      <w:start w:val="1"/>
      <w:numFmt w:val="lowerRoman"/>
      <w:lvlText w:val="%3."/>
      <w:lvlJc w:val="right"/>
      <w:pPr>
        <w:ind w:left="2480" w:hanging="180"/>
      </w:pPr>
    </w:lvl>
    <w:lvl w:ilvl="3" w:tplc="2C0A000F" w:tentative="1">
      <w:start w:val="1"/>
      <w:numFmt w:val="decimal"/>
      <w:lvlText w:val="%4."/>
      <w:lvlJc w:val="left"/>
      <w:pPr>
        <w:ind w:left="3200" w:hanging="360"/>
      </w:pPr>
    </w:lvl>
    <w:lvl w:ilvl="4" w:tplc="2C0A0019" w:tentative="1">
      <w:start w:val="1"/>
      <w:numFmt w:val="lowerLetter"/>
      <w:lvlText w:val="%5."/>
      <w:lvlJc w:val="left"/>
      <w:pPr>
        <w:ind w:left="3920" w:hanging="360"/>
      </w:pPr>
    </w:lvl>
    <w:lvl w:ilvl="5" w:tplc="2C0A001B" w:tentative="1">
      <w:start w:val="1"/>
      <w:numFmt w:val="lowerRoman"/>
      <w:lvlText w:val="%6."/>
      <w:lvlJc w:val="right"/>
      <w:pPr>
        <w:ind w:left="4640" w:hanging="180"/>
      </w:pPr>
    </w:lvl>
    <w:lvl w:ilvl="6" w:tplc="2C0A000F" w:tentative="1">
      <w:start w:val="1"/>
      <w:numFmt w:val="decimal"/>
      <w:lvlText w:val="%7."/>
      <w:lvlJc w:val="left"/>
      <w:pPr>
        <w:ind w:left="5360" w:hanging="360"/>
      </w:pPr>
    </w:lvl>
    <w:lvl w:ilvl="7" w:tplc="2C0A0019" w:tentative="1">
      <w:start w:val="1"/>
      <w:numFmt w:val="lowerLetter"/>
      <w:lvlText w:val="%8."/>
      <w:lvlJc w:val="left"/>
      <w:pPr>
        <w:ind w:left="6080" w:hanging="360"/>
      </w:pPr>
    </w:lvl>
    <w:lvl w:ilvl="8" w:tplc="2C0A001B" w:tentative="1">
      <w:start w:val="1"/>
      <w:numFmt w:val="lowerRoman"/>
      <w:lvlText w:val="%9."/>
      <w:lvlJc w:val="right"/>
      <w:pPr>
        <w:ind w:left="6800" w:hanging="180"/>
      </w:pPr>
    </w:lvl>
  </w:abstractNum>
  <w:abstractNum w:abstractNumId="22" w15:restartNumberingAfterBreak="0">
    <w:nsid w:val="6AC0159F"/>
    <w:multiLevelType w:val="multilevel"/>
    <w:tmpl w:val="304EAFB2"/>
    <w:lvl w:ilvl="0">
      <w:start w:val="1"/>
      <w:numFmt w:val="bullet"/>
      <w:lvlText w:val="▪"/>
      <w:lvlJc w:val="left"/>
      <w:pPr>
        <w:ind w:left="720" w:hanging="360"/>
      </w:pPr>
      <w:rPr>
        <w:rFonts w:ascii="Noto Sans Symbols" w:eastAsia="Noto Sans Symbols" w:hAnsi="Noto Sans Symbols" w:cs="Noto Sans Symbols"/>
        <w:color w:val="2E75B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F60AC4"/>
    <w:multiLevelType w:val="multilevel"/>
    <w:tmpl w:val="67C466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C674184"/>
    <w:multiLevelType w:val="multilevel"/>
    <w:tmpl w:val="566A82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F98369D"/>
    <w:multiLevelType w:val="multilevel"/>
    <w:tmpl w:val="A92C83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53458018">
    <w:abstractNumId w:val="9"/>
  </w:num>
  <w:num w:numId="2" w16cid:durableId="1327434969">
    <w:abstractNumId w:val="8"/>
  </w:num>
  <w:num w:numId="3" w16cid:durableId="1108037588">
    <w:abstractNumId w:val="3"/>
  </w:num>
  <w:num w:numId="4" w16cid:durableId="1748921244">
    <w:abstractNumId w:val="14"/>
  </w:num>
  <w:num w:numId="5" w16cid:durableId="2018343357">
    <w:abstractNumId w:val="0"/>
  </w:num>
  <w:num w:numId="6" w16cid:durableId="816727833">
    <w:abstractNumId w:val="11"/>
  </w:num>
  <w:num w:numId="7" w16cid:durableId="2115049721">
    <w:abstractNumId w:val="20"/>
  </w:num>
  <w:num w:numId="8" w16cid:durableId="418059675">
    <w:abstractNumId w:val="6"/>
  </w:num>
  <w:num w:numId="9" w16cid:durableId="1562446410">
    <w:abstractNumId w:val="10"/>
  </w:num>
  <w:num w:numId="10" w16cid:durableId="100222896">
    <w:abstractNumId w:val="13"/>
  </w:num>
  <w:num w:numId="11" w16cid:durableId="273902411">
    <w:abstractNumId w:val="2"/>
  </w:num>
  <w:num w:numId="12" w16cid:durableId="1031564413">
    <w:abstractNumId w:val="18"/>
  </w:num>
  <w:num w:numId="13" w16cid:durableId="1095637076">
    <w:abstractNumId w:val="22"/>
  </w:num>
  <w:num w:numId="14" w16cid:durableId="1134103107">
    <w:abstractNumId w:val="4"/>
  </w:num>
  <w:num w:numId="15" w16cid:durableId="799999314">
    <w:abstractNumId w:val="5"/>
  </w:num>
  <w:num w:numId="16" w16cid:durableId="5987145">
    <w:abstractNumId w:val="24"/>
  </w:num>
  <w:num w:numId="17" w16cid:durableId="345719692">
    <w:abstractNumId w:val="7"/>
  </w:num>
  <w:num w:numId="18" w16cid:durableId="67729864">
    <w:abstractNumId w:val="19"/>
  </w:num>
  <w:num w:numId="19" w16cid:durableId="2045248271">
    <w:abstractNumId w:val="17"/>
  </w:num>
  <w:num w:numId="20" w16cid:durableId="47387713">
    <w:abstractNumId w:val="1"/>
  </w:num>
  <w:num w:numId="21" w16cid:durableId="61022402">
    <w:abstractNumId w:val="23"/>
  </w:num>
  <w:num w:numId="22" w16cid:durableId="1063484002">
    <w:abstractNumId w:val="25"/>
  </w:num>
  <w:num w:numId="23" w16cid:durableId="1928999615">
    <w:abstractNumId w:val="21"/>
  </w:num>
  <w:num w:numId="24" w16cid:durableId="732391102">
    <w:abstractNumId w:val="12"/>
  </w:num>
  <w:num w:numId="25" w16cid:durableId="1470783152">
    <w:abstractNumId w:val="16"/>
  </w:num>
  <w:num w:numId="26" w16cid:durableId="8214353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AB"/>
    <w:rsid w:val="00002800"/>
    <w:rsid w:val="00003449"/>
    <w:rsid w:val="00056852"/>
    <w:rsid w:val="00066BFB"/>
    <w:rsid w:val="00075CD8"/>
    <w:rsid w:val="00082478"/>
    <w:rsid w:val="00102A07"/>
    <w:rsid w:val="00111C8F"/>
    <w:rsid w:val="001139AE"/>
    <w:rsid w:val="00134064"/>
    <w:rsid w:val="001365CB"/>
    <w:rsid w:val="0014049C"/>
    <w:rsid w:val="001470B0"/>
    <w:rsid w:val="00150CB2"/>
    <w:rsid w:val="00155E9C"/>
    <w:rsid w:val="00182561"/>
    <w:rsid w:val="001C23A1"/>
    <w:rsid w:val="001C42AB"/>
    <w:rsid w:val="0021781D"/>
    <w:rsid w:val="00234732"/>
    <w:rsid w:val="00255F3D"/>
    <w:rsid w:val="00262221"/>
    <w:rsid w:val="00285DB6"/>
    <w:rsid w:val="00295B26"/>
    <w:rsid w:val="002B20BC"/>
    <w:rsid w:val="002C394F"/>
    <w:rsid w:val="002D19CA"/>
    <w:rsid w:val="002E1CED"/>
    <w:rsid w:val="002E5905"/>
    <w:rsid w:val="003441BC"/>
    <w:rsid w:val="00344484"/>
    <w:rsid w:val="00351F2C"/>
    <w:rsid w:val="003A7591"/>
    <w:rsid w:val="003F1D2D"/>
    <w:rsid w:val="004467CB"/>
    <w:rsid w:val="004612DD"/>
    <w:rsid w:val="00467CCB"/>
    <w:rsid w:val="004C0023"/>
    <w:rsid w:val="004D163D"/>
    <w:rsid w:val="004E0F0F"/>
    <w:rsid w:val="00534729"/>
    <w:rsid w:val="005415C9"/>
    <w:rsid w:val="00572B23"/>
    <w:rsid w:val="00577F25"/>
    <w:rsid w:val="005A29E6"/>
    <w:rsid w:val="005A7927"/>
    <w:rsid w:val="005D0729"/>
    <w:rsid w:val="0064427E"/>
    <w:rsid w:val="0068583A"/>
    <w:rsid w:val="00696390"/>
    <w:rsid w:val="006C4B98"/>
    <w:rsid w:val="006D7617"/>
    <w:rsid w:val="00703D39"/>
    <w:rsid w:val="00714081"/>
    <w:rsid w:val="007153AC"/>
    <w:rsid w:val="007520DD"/>
    <w:rsid w:val="00754C64"/>
    <w:rsid w:val="007678DC"/>
    <w:rsid w:val="00780067"/>
    <w:rsid w:val="0078018C"/>
    <w:rsid w:val="007C1ABD"/>
    <w:rsid w:val="007E3D21"/>
    <w:rsid w:val="007E7569"/>
    <w:rsid w:val="00827691"/>
    <w:rsid w:val="008C25D3"/>
    <w:rsid w:val="008E7A69"/>
    <w:rsid w:val="0090251E"/>
    <w:rsid w:val="00902A9D"/>
    <w:rsid w:val="009042DC"/>
    <w:rsid w:val="00907C87"/>
    <w:rsid w:val="0091234F"/>
    <w:rsid w:val="0098138D"/>
    <w:rsid w:val="009A37B5"/>
    <w:rsid w:val="009D565A"/>
    <w:rsid w:val="00A3748A"/>
    <w:rsid w:val="00A60BA0"/>
    <w:rsid w:val="00A73583"/>
    <w:rsid w:val="00B000D4"/>
    <w:rsid w:val="00B63CEF"/>
    <w:rsid w:val="00BF4F3F"/>
    <w:rsid w:val="00C046F8"/>
    <w:rsid w:val="00C13380"/>
    <w:rsid w:val="00C56494"/>
    <w:rsid w:val="00C709B0"/>
    <w:rsid w:val="00C75E66"/>
    <w:rsid w:val="00CD4CCE"/>
    <w:rsid w:val="00D86484"/>
    <w:rsid w:val="00DB72A8"/>
    <w:rsid w:val="00DD76BB"/>
    <w:rsid w:val="00E30258"/>
    <w:rsid w:val="00E52564"/>
    <w:rsid w:val="00E64635"/>
    <w:rsid w:val="00E874E2"/>
    <w:rsid w:val="00EC0E42"/>
    <w:rsid w:val="00F0484B"/>
    <w:rsid w:val="00F50401"/>
    <w:rsid w:val="00FD612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C6B1"/>
  <w15:docId w15:val="{BA4D7A67-6669-424A-AC5B-5DDC12A2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s-ES_tradn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66"/>
  </w:style>
  <w:style w:type="paragraph" w:styleId="Ttulo1">
    <w:name w:val="heading 1"/>
    <w:basedOn w:val="Normal"/>
    <w:next w:val="Normal"/>
    <w:link w:val="Ttulo1Car"/>
    <w:uiPriority w:val="9"/>
    <w:qFormat/>
    <w:rsid w:val="005A29E6"/>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5A29E6"/>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5A29E6"/>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5A29E6"/>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5A29E6"/>
    <w:pPr>
      <w:keepNext/>
      <w:keepLines/>
      <w:spacing w:before="240" w:after="80"/>
      <w:outlineLvl w:val="4"/>
    </w:pPr>
    <w:rPr>
      <w:color w:val="666666"/>
    </w:rPr>
  </w:style>
  <w:style w:type="paragraph" w:styleId="Ttulo6">
    <w:name w:val="heading 6"/>
    <w:basedOn w:val="Normal"/>
    <w:next w:val="Normal"/>
    <w:uiPriority w:val="9"/>
    <w:semiHidden/>
    <w:unhideWhenUsed/>
    <w:qFormat/>
    <w:rsid w:val="005A29E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A29E6"/>
    <w:tblPr>
      <w:tblCellMar>
        <w:top w:w="0" w:type="dxa"/>
        <w:left w:w="0" w:type="dxa"/>
        <w:bottom w:w="0" w:type="dxa"/>
        <w:right w:w="0" w:type="dxa"/>
      </w:tblCellMar>
    </w:tblPr>
  </w:style>
  <w:style w:type="paragraph" w:styleId="Ttulo">
    <w:name w:val="Title"/>
    <w:basedOn w:val="Normal"/>
    <w:next w:val="Normal"/>
    <w:uiPriority w:val="10"/>
    <w:qFormat/>
    <w:rsid w:val="005A29E6"/>
    <w:pPr>
      <w:keepNext/>
      <w:keepLines/>
      <w:spacing w:after="60"/>
    </w:pPr>
    <w:rPr>
      <w:sz w:val="52"/>
      <w:szCs w:val="52"/>
    </w:rPr>
  </w:style>
  <w:style w:type="paragraph" w:styleId="Subttulo">
    <w:name w:val="Subtitle"/>
    <w:basedOn w:val="Normal"/>
    <w:next w:val="Normal"/>
    <w:uiPriority w:val="11"/>
    <w:qFormat/>
    <w:rsid w:val="005A29E6"/>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4E0F0F"/>
    <w:pPr>
      <w:spacing w:line="240" w:lineRule="auto"/>
    </w:pPr>
    <w:rPr>
      <w:sz w:val="20"/>
      <w:szCs w:val="20"/>
    </w:rPr>
  </w:style>
  <w:style w:type="character" w:customStyle="1" w:styleId="TextonotapieCar">
    <w:name w:val="Texto nota pie Car"/>
    <w:basedOn w:val="Fuentedeprrafopredeter"/>
    <w:link w:val="Textonotapie"/>
    <w:uiPriority w:val="99"/>
    <w:semiHidden/>
    <w:rsid w:val="004E0F0F"/>
    <w:rPr>
      <w:sz w:val="20"/>
      <w:szCs w:val="20"/>
    </w:rPr>
  </w:style>
  <w:style w:type="character" w:styleId="Refdenotaalpie">
    <w:name w:val="footnote reference"/>
    <w:basedOn w:val="Fuentedeprrafopredeter"/>
    <w:uiPriority w:val="99"/>
    <w:semiHidden/>
    <w:unhideWhenUsed/>
    <w:rsid w:val="004E0F0F"/>
    <w:rPr>
      <w:vertAlign w:val="superscript"/>
    </w:rPr>
  </w:style>
  <w:style w:type="paragraph" w:styleId="Prrafodelista">
    <w:name w:val="List Paragraph"/>
    <w:basedOn w:val="Normal"/>
    <w:uiPriority w:val="34"/>
    <w:qFormat/>
    <w:rsid w:val="004E0F0F"/>
    <w:pPr>
      <w:ind w:left="720"/>
      <w:contextualSpacing/>
    </w:pPr>
  </w:style>
  <w:style w:type="paragraph" w:styleId="Textodeglobo">
    <w:name w:val="Balloon Text"/>
    <w:basedOn w:val="Normal"/>
    <w:link w:val="TextodegloboCar"/>
    <w:uiPriority w:val="99"/>
    <w:semiHidden/>
    <w:unhideWhenUsed/>
    <w:rsid w:val="005A792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927"/>
    <w:rPr>
      <w:rFonts w:ascii="Segoe UI" w:hAnsi="Segoe UI" w:cs="Segoe UI"/>
      <w:sz w:val="18"/>
      <w:szCs w:val="18"/>
    </w:rPr>
  </w:style>
  <w:style w:type="character" w:customStyle="1" w:styleId="Ttulo1Car">
    <w:name w:val="Título 1 Car"/>
    <w:basedOn w:val="Fuentedeprrafopredeter"/>
    <w:link w:val="Ttulo1"/>
    <w:uiPriority w:val="9"/>
    <w:rsid w:val="004C0023"/>
    <w:rPr>
      <w:sz w:val="40"/>
      <w:szCs w:val="40"/>
    </w:rPr>
  </w:style>
  <w:style w:type="table" w:styleId="Tablaconcuadrcula">
    <w:name w:val="Table Grid"/>
    <w:basedOn w:val="Tablanormal"/>
    <w:uiPriority w:val="39"/>
    <w:rsid w:val="007C1A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138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8138D"/>
  </w:style>
  <w:style w:type="paragraph" w:styleId="Piedepgina">
    <w:name w:val="footer"/>
    <w:basedOn w:val="Normal"/>
    <w:link w:val="PiedepginaCar"/>
    <w:uiPriority w:val="99"/>
    <w:unhideWhenUsed/>
    <w:rsid w:val="0098138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8138D"/>
  </w:style>
  <w:style w:type="paragraph" w:styleId="Revisin">
    <w:name w:val="Revision"/>
    <w:hidden/>
    <w:uiPriority w:val="99"/>
    <w:semiHidden/>
    <w:rsid w:val="0091234F"/>
    <w:pPr>
      <w:spacing w:line="240" w:lineRule="auto"/>
    </w:pPr>
  </w:style>
  <w:style w:type="character" w:styleId="Nmerodepgina">
    <w:name w:val="page number"/>
    <w:basedOn w:val="Fuentedeprrafopredeter"/>
    <w:uiPriority w:val="99"/>
    <w:semiHidden/>
    <w:unhideWhenUsed/>
    <w:rsid w:val="0076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0A813-6B76-4C36-8CA5-E31BD39E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Fernando Cadenas</dc:creator>
  <cp:lastModifiedBy>Rocio Velazquez</cp:lastModifiedBy>
  <cp:revision>3</cp:revision>
  <cp:lastPrinted>2023-09-08T19:56:00Z</cp:lastPrinted>
  <dcterms:created xsi:type="dcterms:W3CDTF">2023-09-08T20:20:00Z</dcterms:created>
  <dcterms:modified xsi:type="dcterms:W3CDTF">2023-09-08T20:22:00Z</dcterms:modified>
</cp:coreProperties>
</file>